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9E3" w:rsidRPr="00B559E3" w:rsidRDefault="00B559E3" w:rsidP="00B559E3">
      <w:pPr>
        <w:spacing w:after="0" w:line="480" w:lineRule="auto"/>
        <w:jc w:val="center"/>
        <w:rPr>
          <w:rFonts w:ascii="Times New Roman" w:hAnsi="Times New Roman" w:cs="Times New Roman"/>
          <w:b/>
          <w:sz w:val="24"/>
          <w:szCs w:val="24"/>
        </w:rPr>
      </w:pPr>
    </w:p>
    <w:p w:rsidR="00B559E3" w:rsidRPr="00B559E3" w:rsidRDefault="00B559E3" w:rsidP="00B559E3">
      <w:pPr>
        <w:spacing w:after="0" w:line="480" w:lineRule="auto"/>
        <w:jc w:val="center"/>
        <w:rPr>
          <w:rFonts w:ascii="Times New Roman" w:hAnsi="Times New Roman" w:cs="Times New Roman"/>
          <w:b/>
          <w:sz w:val="24"/>
          <w:szCs w:val="24"/>
        </w:rPr>
      </w:pPr>
    </w:p>
    <w:p w:rsidR="00B559E3" w:rsidRPr="00B559E3" w:rsidRDefault="00B559E3" w:rsidP="00B559E3">
      <w:pPr>
        <w:spacing w:after="0" w:line="480" w:lineRule="auto"/>
        <w:jc w:val="center"/>
        <w:rPr>
          <w:rFonts w:ascii="Times New Roman" w:hAnsi="Times New Roman" w:cs="Times New Roman"/>
          <w:b/>
          <w:sz w:val="24"/>
          <w:szCs w:val="24"/>
        </w:rPr>
      </w:pPr>
    </w:p>
    <w:p w:rsidR="00B559E3" w:rsidRPr="00B559E3" w:rsidRDefault="00B559E3" w:rsidP="00B559E3">
      <w:pPr>
        <w:spacing w:after="0" w:line="480" w:lineRule="auto"/>
        <w:jc w:val="center"/>
        <w:rPr>
          <w:rFonts w:ascii="Times New Roman" w:hAnsi="Times New Roman" w:cs="Times New Roman"/>
          <w:b/>
          <w:sz w:val="24"/>
          <w:szCs w:val="24"/>
        </w:rPr>
      </w:pPr>
    </w:p>
    <w:p w:rsidR="00B559E3" w:rsidRPr="00B559E3" w:rsidRDefault="00B559E3" w:rsidP="00B559E3">
      <w:pPr>
        <w:spacing w:after="0" w:line="480" w:lineRule="auto"/>
        <w:jc w:val="center"/>
        <w:rPr>
          <w:rFonts w:ascii="Times New Roman" w:hAnsi="Times New Roman" w:cs="Times New Roman"/>
          <w:b/>
          <w:sz w:val="24"/>
          <w:szCs w:val="24"/>
        </w:rPr>
      </w:pPr>
    </w:p>
    <w:p w:rsidR="00A17AE8" w:rsidRPr="00B559E3" w:rsidRDefault="007C2592" w:rsidP="00B559E3">
      <w:pPr>
        <w:spacing w:after="0" w:line="480" w:lineRule="auto"/>
        <w:jc w:val="center"/>
        <w:rPr>
          <w:rFonts w:ascii="Times New Roman" w:hAnsi="Times New Roman" w:cs="Times New Roman"/>
          <w:b/>
          <w:sz w:val="24"/>
          <w:szCs w:val="24"/>
        </w:rPr>
      </w:pPr>
      <w:r w:rsidRPr="00B559E3">
        <w:rPr>
          <w:rFonts w:ascii="Times New Roman" w:hAnsi="Times New Roman" w:cs="Times New Roman"/>
          <w:b/>
          <w:sz w:val="24"/>
          <w:szCs w:val="24"/>
        </w:rPr>
        <w:t>Gender Discrimination and the Theory of Utilitarianism</w:t>
      </w:r>
    </w:p>
    <w:p w:rsidR="00B559E3" w:rsidRPr="00B559E3" w:rsidRDefault="00B559E3" w:rsidP="00B559E3">
      <w:pPr>
        <w:spacing w:after="0" w:line="480" w:lineRule="auto"/>
        <w:jc w:val="center"/>
        <w:rPr>
          <w:rFonts w:ascii="Times New Roman" w:hAnsi="Times New Roman" w:cs="Times New Roman"/>
          <w:sz w:val="24"/>
          <w:szCs w:val="24"/>
        </w:rPr>
      </w:pPr>
    </w:p>
    <w:p w:rsidR="00B559E3" w:rsidRPr="00B559E3" w:rsidRDefault="00B559E3" w:rsidP="00B559E3">
      <w:pPr>
        <w:spacing w:after="0" w:line="480" w:lineRule="auto"/>
        <w:jc w:val="center"/>
        <w:rPr>
          <w:rFonts w:ascii="Times New Roman" w:hAnsi="Times New Roman" w:cs="Times New Roman"/>
          <w:sz w:val="24"/>
          <w:szCs w:val="24"/>
        </w:rPr>
      </w:pPr>
    </w:p>
    <w:p w:rsidR="00B559E3" w:rsidRPr="00B559E3" w:rsidRDefault="00B559E3" w:rsidP="00B559E3">
      <w:pPr>
        <w:spacing w:after="0" w:line="480" w:lineRule="auto"/>
        <w:jc w:val="center"/>
        <w:rPr>
          <w:rFonts w:ascii="Times New Roman" w:hAnsi="Times New Roman" w:cs="Times New Roman"/>
          <w:sz w:val="24"/>
          <w:szCs w:val="24"/>
        </w:rPr>
      </w:pPr>
    </w:p>
    <w:p w:rsidR="00B559E3" w:rsidRPr="00B559E3" w:rsidRDefault="00B559E3" w:rsidP="00B559E3">
      <w:pPr>
        <w:spacing w:after="0" w:line="480" w:lineRule="auto"/>
        <w:jc w:val="center"/>
        <w:rPr>
          <w:rFonts w:ascii="Times New Roman" w:hAnsi="Times New Roman" w:cs="Times New Roman"/>
          <w:sz w:val="24"/>
          <w:szCs w:val="24"/>
        </w:rPr>
      </w:pPr>
    </w:p>
    <w:p w:rsidR="00B559E3" w:rsidRPr="00B559E3" w:rsidRDefault="00B559E3" w:rsidP="00B559E3">
      <w:pPr>
        <w:spacing w:after="0" w:line="480" w:lineRule="auto"/>
        <w:jc w:val="center"/>
        <w:rPr>
          <w:rFonts w:ascii="Times New Roman" w:hAnsi="Times New Roman" w:cs="Times New Roman"/>
          <w:sz w:val="24"/>
          <w:szCs w:val="24"/>
        </w:rPr>
      </w:pPr>
      <w:r w:rsidRPr="00B559E3">
        <w:rPr>
          <w:rFonts w:ascii="Times New Roman" w:hAnsi="Times New Roman" w:cs="Times New Roman"/>
          <w:sz w:val="24"/>
          <w:szCs w:val="24"/>
        </w:rPr>
        <w:t>Name</w:t>
      </w:r>
    </w:p>
    <w:p w:rsidR="00B559E3" w:rsidRPr="00B559E3" w:rsidRDefault="00B559E3" w:rsidP="00B559E3">
      <w:pPr>
        <w:spacing w:after="0" w:line="480" w:lineRule="auto"/>
        <w:jc w:val="center"/>
        <w:rPr>
          <w:rFonts w:ascii="Times New Roman" w:hAnsi="Times New Roman" w:cs="Times New Roman"/>
          <w:sz w:val="24"/>
          <w:szCs w:val="24"/>
        </w:rPr>
      </w:pPr>
      <w:r w:rsidRPr="00B559E3">
        <w:rPr>
          <w:rFonts w:ascii="Times New Roman" w:hAnsi="Times New Roman" w:cs="Times New Roman"/>
          <w:sz w:val="24"/>
          <w:szCs w:val="24"/>
        </w:rPr>
        <w:t>Institutional Affiliation</w:t>
      </w:r>
    </w:p>
    <w:p w:rsidR="00B559E3" w:rsidRPr="00B559E3" w:rsidRDefault="00B559E3" w:rsidP="00B559E3">
      <w:pPr>
        <w:spacing w:after="0" w:line="480" w:lineRule="auto"/>
        <w:jc w:val="center"/>
        <w:rPr>
          <w:rFonts w:ascii="Times New Roman" w:hAnsi="Times New Roman" w:cs="Times New Roman"/>
          <w:sz w:val="24"/>
          <w:szCs w:val="24"/>
        </w:rPr>
      </w:pPr>
      <w:r w:rsidRPr="00B559E3">
        <w:rPr>
          <w:rFonts w:ascii="Times New Roman" w:hAnsi="Times New Roman" w:cs="Times New Roman"/>
          <w:sz w:val="24"/>
          <w:szCs w:val="24"/>
        </w:rPr>
        <w:t>Course</w:t>
      </w:r>
    </w:p>
    <w:p w:rsidR="00B559E3" w:rsidRPr="00B559E3" w:rsidRDefault="00B559E3" w:rsidP="00B559E3">
      <w:pPr>
        <w:spacing w:after="0" w:line="480" w:lineRule="auto"/>
        <w:jc w:val="center"/>
        <w:rPr>
          <w:rFonts w:ascii="Times New Roman" w:hAnsi="Times New Roman" w:cs="Times New Roman"/>
          <w:sz w:val="24"/>
          <w:szCs w:val="24"/>
        </w:rPr>
      </w:pPr>
      <w:r w:rsidRPr="00B559E3">
        <w:rPr>
          <w:rFonts w:ascii="Times New Roman" w:hAnsi="Times New Roman" w:cs="Times New Roman"/>
          <w:sz w:val="24"/>
          <w:szCs w:val="24"/>
        </w:rPr>
        <w:t>Tutor</w:t>
      </w:r>
    </w:p>
    <w:p w:rsidR="00B559E3" w:rsidRPr="00B559E3" w:rsidRDefault="00B559E3" w:rsidP="00B559E3">
      <w:pPr>
        <w:spacing w:after="0" w:line="480" w:lineRule="auto"/>
        <w:jc w:val="center"/>
        <w:rPr>
          <w:rFonts w:ascii="Times New Roman" w:hAnsi="Times New Roman" w:cs="Times New Roman"/>
          <w:sz w:val="24"/>
          <w:szCs w:val="24"/>
        </w:rPr>
      </w:pPr>
      <w:r w:rsidRPr="00B559E3">
        <w:rPr>
          <w:rFonts w:ascii="Times New Roman" w:hAnsi="Times New Roman" w:cs="Times New Roman"/>
          <w:sz w:val="24"/>
          <w:szCs w:val="24"/>
        </w:rPr>
        <w:t xml:space="preserve">Date </w:t>
      </w: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8A59A7" w:rsidRDefault="008A59A7" w:rsidP="00B559E3">
      <w:pPr>
        <w:spacing w:after="0" w:line="480" w:lineRule="auto"/>
        <w:rPr>
          <w:rFonts w:ascii="Times New Roman" w:hAnsi="Times New Roman" w:cs="Times New Roman"/>
          <w:sz w:val="24"/>
          <w:szCs w:val="24"/>
        </w:rPr>
      </w:pPr>
    </w:p>
    <w:p w:rsidR="00687CAD" w:rsidRPr="00B559E3" w:rsidRDefault="00F104BC" w:rsidP="008A59A7">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lastRenderedPageBreak/>
        <w:t xml:space="preserve">Notably, the </w:t>
      </w:r>
      <w:r w:rsidR="00E64EF3" w:rsidRPr="00B559E3">
        <w:rPr>
          <w:rFonts w:ascii="Times New Roman" w:hAnsi="Times New Roman" w:cs="Times New Roman"/>
          <w:sz w:val="24"/>
          <w:szCs w:val="24"/>
        </w:rPr>
        <w:t>question</w:t>
      </w:r>
      <w:r w:rsidRPr="00B559E3">
        <w:rPr>
          <w:rFonts w:ascii="Times New Roman" w:hAnsi="Times New Roman" w:cs="Times New Roman"/>
          <w:sz w:val="24"/>
          <w:szCs w:val="24"/>
        </w:rPr>
        <w:t xml:space="preserve"> of gender equality has fo</w:t>
      </w:r>
      <w:r w:rsidR="00E64EF3" w:rsidRPr="00B559E3">
        <w:rPr>
          <w:rFonts w:ascii="Times New Roman" w:hAnsi="Times New Roman" w:cs="Times New Roman"/>
          <w:sz w:val="24"/>
          <w:szCs w:val="24"/>
        </w:rPr>
        <w:t>r years been extensively debated in both philosophical literature as well as in the mass media sources. In societies that exercise democracy, gender equality has been regarded as a significant moral principle that has to be adequately followed by every member of the society. Typically, gender inequality may be described as the advantage to the males as a social-group that is articulated in a higher power form, safety, financial benefits, reverence, authority access and organizational opportunities and even rule over individual’s personal life. In gender inequality milieu, men and women, who are the representatives of these two genders, are the directly involved stakeholders. Conversely, the indirectly involved stakeholders include: businesses, communities as well as the entire society. Substantially, moral/ethical appraisal in utilitarianism theory is accrued to the unswerving concerns of the activities or choices, on top of the vicissitudes of the total utility. In addition, an action may be deemed as ethically undesirable in an occasion where there is a decrease in the total utility. As a consequence, it remains critical to categorize the key shareholders in gender inequality case, so as to apply the act utilitarianism to the issue of gender inequality.</w:t>
      </w:r>
    </w:p>
    <w:p w:rsidR="00E26B5E" w:rsidRPr="00B559E3" w:rsidRDefault="00687CAD"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 xml:space="preserve">However, several scholars have </w:t>
      </w:r>
      <w:r w:rsidR="0007698B" w:rsidRPr="00B559E3">
        <w:rPr>
          <w:rFonts w:ascii="Times New Roman" w:hAnsi="Times New Roman" w:cs="Times New Roman"/>
          <w:sz w:val="24"/>
          <w:szCs w:val="24"/>
        </w:rPr>
        <w:t>refuted</w:t>
      </w:r>
      <w:r w:rsidRPr="00B559E3">
        <w:rPr>
          <w:rFonts w:ascii="Times New Roman" w:hAnsi="Times New Roman" w:cs="Times New Roman"/>
          <w:sz w:val="24"/>
          <w:szCs w:val="24"/>
        </w:rPr>
        <w:t xml:space="preserve"> the fact that gender inequality is ethically wrong by questioning whether all those acts of discrimination that are prohibited by law mean that they are unethical and those not prohibited are ethical</w:t>
      </w:r>
      <w:r w:rsidR="00B559E3" w:rsidRPr="00B559E3">
        <w:rPr>
          <w:rFonts w:ascii="Times New Roman" w:hAnsi="Times New Roman" w:cs="Times New Roman"/>
          <w:sz w:val="24"/>
          <w:szCs w:val="24"/>
        </w:rPr>
        <w:t xml:space="preserve"> (Hicks, 2002)</w:t>
      </w:r>
      <w:r w:rsidRPr="00B559E3">
        <w:rPr>
          <w:rFonts w:ascii="Times New Roman" w:hAnsi="Times New Roman" w:cs="Times New Roman"/>
          <w:sz w:val="24"/>
          <w:szCs w:val="24"/>
        </w:rPr>
        <w:t xml:space="preserve">. </w:t>
      </w:r>
      <w:r w:rsidR="0007698B" w:rsidRPr="00B559E3">
        <w:rPr>
          <w:rFonts w:ascii="Times New Roman" w:hAnsi="Times New Roman" w:cs="Times New Roman"/>
          <w:sz w:val="24"/>
          <w:szCs w:val="24"/>
        </w:rPr>
        <w:t xml:space="preserve">Arguably, they maintain that discrimination is no longer </w:t>
      </w:r>
      <w:r w:rsidR="00E26B5E" w:rsidRPr="00B559E3">
        <w:rPr>
          <w:rFonts w:ascii="Times New Roman" w:hAnsi="Times New Roman" w:cs="Times New Roman"/>
          <w:sz w:val="24"/>
          <w:szCs w:val="24"/>
        </w:rPr>
        <w:t>impounded</w:t>
      </w:r>
      <w:r w:rsidR="0007698B" w:rsidRPr="00B559E3">
        <w:rPr>
          <w:rFonts w:ascii="Times New Roman" w:hAnsi="Times New Roman" w:cs="Times New Roman"/>
          <w:sz w:val="24"/>
          <w:szCs w:val="24"/>
        </w:rPr>
        <w:t xml:space="preserve"> to the minority groups; observing that th</w:t>
      </w:r>
      <w:r w:rsidR="00E26B5E" w:rsidRPr="00B559E3">
        <w:rPr>
          <w:rFonts w:ascii="Times New Roman" w:hAnsi="Times New Roman" w:cs="Times New Roman"/>
          <w:sz w:val="24"/>
          <w:szCs w:val="24"/>
        </w:rPr>
        <w:t xml:space="preserve">e number of women in the workforce is currently higher compared to that of their counterparts. </w:t>
      </w:r>
      <w:r w:rsidRPr="00B559E3">
        <w:rPr>
          <w:rFonts w:ascii="Times New Roman" w:hAnsi="Times New Roman" w:cs="Times New Roman"/>
          <w:sz w:val="24"/>
          <w:szCs w:val="24"/>
        </w:rPr>
        <w:t xml:space="preserve">Moreover, these opponents </w:t>
      </w:r>
      <w:r w:rsidR="00293877" w:rsidRPr="00B559E3">
        <w:rPr>
          <w:rFonts w:ascii="Times New Roman" w:hAnsi="Times New Roman" w:cs="Times New Roman"/>
          <w:sz w:val="24"/>
          <w:szCs w:val="24"/>
        </w:rPr>
        <w:t xml:space="preserve">maintain that it is a conventional and </w:t>
      </w:r>
      <w:r w:rsidR="00E8344B" w:rsidRPr="00B559E3">
        <w:rPr>
          <w:rFonts w:ascii="Times New Roman" w:hAnsi="Times New Roman" w:cs="Times New Roman"/>
          <w:sz w:val="24"/>
          <w:szCs w:val="24"/>
        </w:rPr>
        <w:t>a poor thinking to state that moral conduct has to be judged on the basis of pleasure</w:t>
      </w:r>
      <w:r w:rsidR="00B559E3" w:rsidRPr="00B559E3">
        <w:rPr>
          <w:rFonts w:ascii="Times New Roman" w:hAnsi="Times New Roman" w:cs="Times New Roman"/>
          <w:sz w:val="24"/>
          <w:szCs w:val="24"/>
        </w:rPr>
        <w:t xml:space="preserve"> (Aagaard, 2016)</w:t>
      </w:r>
      <w:r w:rsidR="00E8344B" w:rsidRPr="00B559E3">
        <w:rPr>
          <w:rFonts w:ascii="Times New Roman" w:hAnsi="Times New Roman" w:cs="Times New Roman"/>
          <w:sz w:val="24"/>
          <w:szCs w:val="24"/>
        </w:rPr>
        <w:t xml:space="preserve">. In this sense, it is argued that an action has to be determined whether it is right through a precise calculation of all the pleasure and suffering/pain arising from </w:t>
      </w:r>
      <w:r w:rsidR="0007698B" w:rsidRPr="00B559E3">
        <w:rPr>
          <w:rFonts w:ascii="Times New Roman" w:hAnsi="Times New Roman" w:cs="Times New Roman"/>
          <w:sz w:val="24"/>
          <w:szCs w:val="24"/>
        </w:rPr>
        <w:t xml:space="preserve">that particular action. In short, these scholars argue that nobody is </w:t>
      </w:r>
      <w:r w:rsidR="0007698B" w:rsidRPr="00B559E3">
        <w:rPr>
          <w:rFonts w:ascii="Times New Roman" w:hAnsi="Times New Roman" w:cs="Times New Roman"/>
          <w:sz w:val="24"/>
          <w:szCs w:val="24"/>
        </w:rPr>
        <w:lastRenderedPageBreak/>
        <w:t xml:space="preserve">capable of knowing all of the consequences of individuals actions, utilitarianism conflicts with ordinary moral judgments, utilitarianism only perpetuates the status quo and that higher pleasures remain inconsistent with hedonism; facets that will be widely explored in this paper.  </w:t>
      </w:r>
    </w:p>
    <w:p w:rsidR="00AE1CFF" w:rsidRPr="00B559E3" w:rsidRDefault="00E26B5E"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Arguably, these scholars recognize that, even though a decision will be reached under act utilitarianism, people have to reflect on the big picture by applying rule utilitarianism so as to find out the long-term socio-economic effects of discrimination</w:t>
      </w:r>
      <w:r w:rsidR="00B559E3" w:rsidRPr="00B559E3">
        <w:rPr>
          <w:rFonts w:ascii="Times New Roman" w:hAnsi="Times New Roman" w:cs="Times New Roman"/>
          <w:sz w:val="24"/>
          <w:szCs w:val="24"/>
        </w:rPr>
        <w:t xml:space="preserve"> (Diller, 2018)</w:t>
      </w:r>
      <w:r w:rsidRPr="00B559E3">
        <w:rPr>
          <w:rFonts w:ascii="Times New Roman" w:hAnsi="Times New Roman" w:cs="Times New Roman"/>
          <w:sz w:val="24"/>
          <w:szCs w:val="24"/>
        </w:rPr>
        <w:t xml:space="preserve">. </w:t>
      </w:r>
      <w:r w:rsidR="00917CA6" w:rsidRPr="00B559E3">
        <w:rPr>
          <w:rFonts w:ascii="Times New Roman" w:hAnsi="Times New Roman" w:cs="Times New Roman"/>
          <w:sz w:val="24"/>
          <w:szCs w:val="24"/>
        </w:rPr>
        <w:t>Thus</w:t>
      </w:r>
      <w:r w:rsidRPr="00B559E3">
        <w:rPr>
          <w:rFonts w:ascii="Times New Roman" w:hAnsi="Times New Roman" w:cs="Times New Roman"/>
          <w:sz w:val="24"/>
          <w:szCs w:val="24"/>
        </w:rPr>
        <w:t xml:space="preserve">, </w:t>
      </w:r>
      <w:r w:rsidR="00917CA6" w:rsidRPr="00B559E3">
        <w:rPr>
          <w:rFonts w:ascii="Times New Roman" w:hAnsi="Times New Roman" w:cs="Times New Roman"/>
          <w:sz w:val="24"/>
          <w:szCs w:val="24"/>
        </w:rPr>
        <w:t>the economic implications on any corporation have to be determined. For instance, discriminating against working mothers does not only affect their work attitude, but also women in general. In this sense, for a good number of women, it is a natural cycle to go through pregnancy as well as pregnancy; an aspect that leads to loss of morale among the women, hence; adversely affecting their efficiency and loyalty. Moreover, this discrimination will result to a loss of productivity simply because the women’s competencies will not be maximized</w:t>
      </w:r>
      <w:r w:rsidR="00B559E3" w:rsidRPr="00B559E3">
        <w:rPr>
          <w:rFonts w:ascii="Times New Roman" w:hAnsi="Times New Roman" w:cs="Times New Roman"/>
          <w:sz w:val="24"/>
          <w:szCs w:val="24"/>
        </w:rPr>
        <w:t xml:space="preserve"> (Hicks, 2002)</w:t>
      </w:r>
      <w:r w:rsidR="00917CA6" w:rsidRPr="00B559E3">
        <w:rPr>
          <w:rFonts w:ascii="Times New Roman" w:hAnsi="Times New Roman" w:cs="Times New Roman"/>
          <w:sz w:val="24"/>
          <w:szCs w:val="24"/>
        </w:rPr>
        <w:t>. Therefore, in situations where corporations evaluate their employees on the basis of their merits, it is quite an efficient way since they are equipped with the suitable skills, knowledge and even competencies; fa</w:t>
      </w:r>
      <w:r w:rsidR="00AE1CFF" w:rsidRPr="00B559E3">
        <w:rPr>
          <w:rFonts w:ascii="Times New Roman" w:hAnsi="Times New Roman" w:cs="Times New Roman"/>
          <w:sz w:val="24"/>
          <w:szCs w:val="24"/>
        </w:rPr>
        <w:t xml:space="preserve">cets that promote productivity and welfare. In other words, the proponents of this argument maintain that discrimination/positive discrimination, which is referred to as affirmative action is comprised of diverse economic rewards. </w:t>
      </w:r>
      <w:r w:rsidR="00687CAD" w:rsidRPr="00B559E3">
        <w:rPr>
          <w:rFonts w:ascii="Times New Roman" w:hAnsi="Times New Roman" w:cs="Times New Roman"/>
          <w:sz w:val="24"/>
          <w:szCs w:val="24"/>
        </w:rPr>
        <w:t xml:space="preserve"> </w:t>
      </w:r>
    </w:p>
    <w:p w:rsidR="0003146A" w:rsidRPr="00B559E3" w:rsidRDefault="00AE1CFF"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Another criticism facing the act of utilitarianism is the fact that nobody has the capability of knowing all of his or her actions. The proponents of this argument state that no individual will be in a position to discover each and every relevant effect, alongside forming a conclusion concerning the overall pleasure/happiness or suffering/unhappiness that result. Analogically,</w:t>
      </w:r>
      <w:r w:rsidR="00D57998" w:rsidRPr="00B559E3">
        <w:rPr>
          <w:rFonts w:ascii="Times New Roman" w:hAnsi="Times New Roman" w:cs="Times New Roman"/>
          <w:sz w:val="24"/>
          <w:szCs w:val="24"/>
        </w:rPr>
        <w:t xml:space="preserve"> in ordinary living, people have been noted to excel at figuring out a good number of </w:t>
      </w:r>
      <w:r w:rsidR="00A7555A" w:rsidRPr="00B559E3">
        <w:rPr>
          <w:rFonts w:ascii="Times New Roman" w:hAnsi="Times New Roman" w:cs="Times New Roman"/>
          <w:sz w:val="24"/>
          <w:szCs w:val="24"/>
        </w:rPr>
        <w:t>the immediate costs of their respective actions</w:t>
      </w:r>
      <w:r w:rsidR="00B559E3" w:rsidRPr="00B559E3">
        <w:rPr>
          <w:rFonts w:ascii="Times New Roman" w:hAnsi="Times New Roman" w:cs="Times New Roman"/>
          <w:sz w:val="24"/>
          <w:szCs w:val="24"/>
        </w:rPr>
        <w:t xml:space="preserve"> (Hicks, 2002)</w:t>
      </w:r>
      <w:r w:rsidR="00A7555A" w:rsidRPr="00B559E3">
        <w:rPr>
          <w:rFonts w:ascii="Times New Roman" w:hAnsi="Times New Roman" w:cs="Times New Roman"/>
          <w:sz w:val="24"/>
          <w:szCs w:val="24"/>
        </w:rPr>
        <w:t xml:space="preserve">. Sensibly, while determining the wrongness and </w:t>
      </w:r>
      <w:r w:rsidR="00A7555A" w:rsidRPr="00B559E3">
        <w:rPr>
          <w:rFonts w:ascii="Times New Roman" w:hAnsi="Times New Roman" w:cs="Times New Roman"/>
          <w:sz w:val="24"/>
          <w:szCs w:val="24"/>
        </w:rPr>
        <w:lastRenderedPageBreak/>
        <w:t xml:space="preserve">rightness of the ethical rules, it is not supposed to be </w:t>
      </w:r>
      <w:r w:rsidR="0003146A" w:rsidRPr="00B559E3">
        <w:rPr>
          <w:rFonts w:ascii="Times New Roman" w:hAnsi="Times New Roman" w:cs="Times New Roman"/>
          <w:sz w:val="24"/>
          <w:szCs w:val="24"/>
        </w:rPr>
        <w:t>left to a single person to calculate the entire consequences. Furthermore, it is argued that whether individuals’ actions remain morally neutral or ethically significant, nature also plays a significant role in times of projecting their most probable long-term effects</w:t>
      </w:r>
      <w:r w:rsidR="00B559E3" w:rsidRPr="00B559E3">
        <w:rPr>
          <w:rFonts w:ascii="Times New Roman" w:hAnsi="Times New Roman" w:cs="Times New Roman"/>
          <w:sz w:val="24"/>
          <w:szCs w:val="24"/>
        </w:rPr>
        <w:t xml:space="preserve"> (Robeyns, 2003)</w:t>
      </w:r>
      <w:r w:rsidR="0003146A" w:rsidRPr="00B559E3">
        <w:rPr>
          <w:rFonts w:ascii="Times New Roman" w:hAnsi="Times New Roman" w:cs="Times New Roman"/>
          <w:sz w:val="24"/>
          <w:szCs w:val="24"/>
        </w:rPr>
        <w:t>.</w:t>
      </w:r>
    </w:p>
    <w:p w:rsidR="00AA7FF5" w:rsidRPr="00B559E3" w:rsidRDefault="0003146A"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On societal implications of discrimination, these critiques maintain that gender discrimination may lead to an indirect expansion in fertility. It is an action that is quite positive among societies, particularly in developed economies facing the issue of graying population because of low birth rates</w:t>
      </w:r>
      <w:r w:rsidR="00B559E3" w:rsidRPr="00B559E3">
        <w:rPr>
          <w:rFonts w:ascii="Times New Roman" w:hAnsi="Times New Roman" w:cs="Times New Roman"/>
          <w:sz w:val="24"/>
          <w:szCs w:val="24"/>
        </w:rPr>
        <w:t xml:space="preserve"> (Blowfield &amp; Dolan, 2008)</w:t>
      </w:r>
      <w:r w:rsidRPr="00B559E3">
        <w:rPr>
          <w:rFonts w:ascii="Times New Roman" w:hAnsi="Times New Roman" w:cs="Times New Roman"/>
          <w:sz w:val="24"/>
          <w:szCs w:val="24"/>
        </w:rPr>
        <w:t>. On the contrary, this discrimination has the ca</w:t>
      </w:r>
      <w:r w:rsidR="00506297" w:rsidRPr="00B559E3">
        <w:rPr>
          <w:rFonts w:ascii="Times New Roman" w:hAnsi="Times New Roman" w:cs="Times New Roman"/>
          <w:sz w:val="24"/>
          <w:szCs w:val="24"/>
        </w:rPr>
        <w:t>pacity to cause a diverse trend, particularly for women placing great significance on their careers, hence; engaging in issues such as postponing their pregnancies, deciding to remain childless or even turning to abortion so as to evade the route to working mother discrimination. Again, there are other varied societal discrimination costs; for instance, there are billions worth of talent that are wasted because of the inequalities that are suffered by the working women</w:t>
      </w:r>
      <w:r w:rsidR="00B559E3" w:rsidRPr="00B559E3">
        <w:rPr>
          <w:rFonts w:ascii="Times New Roman" w:hAnsi="Times New Roman" w:cs="Times New Roman"/>
          <w:sz w:val="24"/>
          <w:szCs w:val="24"/>
        </w:rPr>
        <w:t xml:space="preserve"> (Diller, 2018)</w:t>
      </w:r>
      <w:r w:rsidR="00506297" w:rsidRPr="00B559E3">
        <w:rPr>
          <w:rFonts w:ascii="Times New Roman" w:hAnsi="Times New Roman" w:cs="Times New Roman"/>
          <w:sz w:val="24"/>
          <w:szCs w:val="24"/>
        </w:rPr>
        <w:t xml:space="preserve">. Other greater social discrimination costs on top of the wastage of human resources and talent because of the broadening socio-economic workplace gender inequality include the manifold devastating impacts on both social cohesion and political stability. With the elevating technology as well as globalization that is </w:t>
      </w:r>
      <w:r w:rsidR="00286673" w:rsidRPr="00B559E3">
        <w:rPr>
          <w:rFonts w:ascii="Times New Roman" w:hAnsi="Times New Roman" w:cs="Times New Roman"/>
          <w:sz w:val="24"/>
          <w:szCs w:val="24"/>
        </w:rPr>
        <w:t>embracing a</w:t>
      </w:r>
      <w:r w:rsidR="00506297" w:rsidRPr="00B559E3">
        <w:rPr>
          <w:rFonts w:ascii="Times New Roman" w:hAnsi="Times New Roman" w:cs="Times New Roman"/>
          <w:sz w:val="24"/>
          <w:szCs w:val="24"/>
        </w:rPr>
        <w:t xml:space="preserve"> </w:t>
      </w:r>
      <w:r w:rsidR="00286673" w:rsidRPr="00B559E3">
        <w:rPr>
          <w:rFonts w:ascii="Times New Roman" w:hAnsi="Times New Roman" w:cs="Times New Roman"/>
          <w:sz w:val="24"/>
          <w:szCs w:val="24"/>
        </w:rPr>
        <w:t>progressively more role in the performance of organizations and communities, the advantages of meritocracy moderates relative to diversity</w:t>
      </w:r>
      <w:r w:rsidR="00B559E3" w:rsidRPr="00B559E3">
        <w:rPr>
          <w:rFonts w:ascii="Times New Roman" w:hAnsi="Times New Roman" w:cs="Times New Roman"/>
          <w:sz w:val="24"/>
          <w:szCs w:val="24"/>
        </w:rPr>
        <w:t xml:space="preserve"> (Aagaard, 2016)</w:t>
      </w:r>
      <w:r w:rsidR="00286673" w:rsidRPr="00B559E3">
        <w:rPr>
          <w:rFonts w:ascii="Times New Roman" w:hAnsi="Times New Roman" w:cs="Times New Roman"/>
          <w:sz w:val="24"/>
          <w:szCs w:val="24"/>
        </w:rPr>
        <w:t>.</w:t>
      </w:r>
      <w:r w:rsidR="00AA7FF5" w:rsidRPr="00B559E3">
        <w:rPr>
          <w:rFonts w:ascii="Times New Roman" w:hAnsi="Times New Roman" w:cs="Times New Roman"/>
          <w:sz w:val="24"/>
          <w:szCs w:val="24"/>
        </w:rPr>
        <w:t xml:space="preserve"> Thus, a stand for discrimination will be reached under the rule utilitarianism. </w:t>
      </w:r>
    </w:p>
    <w:p w:rsidR="00B16E71" w:rsidRPr="00B559E3" w:rsidRDefault="00AA7FF5"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Furthermore, these scholars affirm that there is a conflict between the decisions of rule utilitarianism and those of act utilitarianism; stating that in most cases, gender discrimination brings more pain compared to pleasure</w:t>
      </w:r>
      <w:r w:rsidR="00B559E3" w:rsidRPr="00B559E3">
        <w:rPr>
          <w:rFonts w:ascii="Times New Roman" w:hAnsi="Times New Roman" w:cs="Times New Roman"/>
          <w:sz w:val="24"/>
          <w:szCs w:val="24"/>
        </w:rPr>
        <w:t xml:space="preserve"> (Hicks, 2002)</w:t>
      </w:r>
      <w:r w:rsidRPr="00B559E3">
        <w:rPr>
          <w:rFonts w:ascii="Times New Roman" w:hAnsi="Times New Roman" w:cs="Times New Roman"/>
          <w:sz w:val="24"/>
          <w:szCs w:val="24"/>
        </w:rPr>
        <w:t xml:space="preserve">. On the contrary, they maintain that in the </w:t>
      </w:r>
      <w:r w:rsidRPr="00B559E3">
        <w:rPr>
          <w:rFonts w:ascii="Times New Roman" w:hAnsi="Times New Roman" w:cs="Times New Roman"/>
          <w:sz w:val="24"/>
          <w:szCs w:val="24"/>
        </w:rPr>
        <w:lastRenderedPageBreak/>
        <w:t xml:space="preserve">long run, in cases where a corporation will embrace discrimination, the end result will be more pleasure than pain. In addition, they state that there is always a need of considering the period of </w:t>
      </w:r>
      <w:r w:rsidR="00A9651B" w:rsidRPr="00B559E3">
        <w:rPr>
          <w:rFonts w:ascii="Times New Roman" w:hAnsi="Times New Roman" w:cs="Times New Roman"/>
          <w:sz w:val="24"/>
          <w:szCs w:val="24"/>
        </w:rPr>
        <w:t xml:space="preserve">the </w:t>
      </w:r>
      <w:r w:rsidRPr="00B559E3">
        <w:rPr>
          <w:rFonts w:ascii="Times New Roman" w:hAnsi="Times New Roman" w:cs="Times New Roman"/>
          <w:sz w:val="24"/>
          <w:szCs w:val="24"/>
        </w:rPr>
        <w:t>prospected costs and benefits while deciding on the</w:t>
      </w:r>
      <w:r w:rsidR="00A9651B" w:rsidRPr="00B559E3">
        <w:rPr>
          <w:rFonts w:ascii="Times New Roman" w:hAnsi="Times New Roman" w:cs="Times New Roman"/>
          <w:sz w:val="24"/>
          <w:szCs w:val="24"/>
        </w:rPr>
        <w:t xml:space="preserve"> overall decision goodness. For example, any form of short-term profitability should never be pursed at the long-term expense of political stability</w:t>
      </w:r>
      <w:r w:rsidR="00B559E3" w:rsidRPr="00B559E3">
        <w:rPr>
          <w:rFonts w:ascii="Times New Roman" w:hAnsi="Times New Roman" w:cs="Times New Roman"/>
          <w:sz w:val="24"/>
          <w:szCs w:val="24"/>
        </w:rPr>
        <w:t xml:space="preserve"> (Blowfield &amp; Dolan, 2008)</w:t>
      </w:r>
      <w:r w:rsidR="00A9651B" w:rsidRPr="00B559E3">
        <w:rPr>
          <w:rFonts w:ascii="Times New Roman" w:hAnsi="Times New Roman" w:cs="Times New Roman"/>
          <w:sz w:val="24"/>
          <w:szCs w:val="24"/>
        </w:rPr>
        <w:t>. As a consequence, any form of discrimination pain remains to be disastrous whilst there are great pleasures that are caused by affirmative action. In this respect, the decision is accrued to the rule utilitarianism that concludes the fact that discrimination should be avoided because the overall pain has outweighed the pleasures, not to mention that affirmative action will result to a great happiness.</w:t>
      </w:r>
      <w:r w:rsidR="00DF7D15" w:rsidRPr="00B559E3">
        <w:rPr>
          <w:rFonts w:ascii="Times New Roman" w:hAnsi="Times New Roman" w:cs="Times New Roman"/>
          <w:sz w:val="24"/>
          <w:szCs w:val="24"/>
        </w:rPr>
        <w:t xml:space="preserve"> In another sense, it is argued that utilitarianism will conflict with individuals ordinary conceptions of their moral judgments</w:t>
      </w:r>
      <w:r w:rsidR="00B16E71" w:rsidRPr="00B559E3">
        <w:rPr>
          <w:rFonts w:ascii="Times New Roman" w:hAnsi="Times New Roman" w:cs="Times New Roman"/>
          <w:sz w:val="24"/>
          <w:szCs w:val="24"/>
        </w:rPr>
        <w:t xml:space="preserve"> simply because people tend to mainly focus only on the immediate effects of an individual’s conduct, thus; neglecting their long-term benefits</w:t>
      </w:r>
      <w:r w:rsidR="00B559E3" w:rsidRPr="00B559E3">
        <w:rPr>
          <w:rFonts w:ascii="Times New Roman" w:hAnsi="Times New Roman" w:cs="Times New Roman"/>
          <w:sz w:val="24"/>
          <w:szCs w:val="24"/>
        </w:rPr>
        <w:t xml:space="preserve"> (Hicks, 2002)</w:t>
      </w:r>
      <w:r w:rsidR="00B16E71" w:rsidRPr="00B559E3">
        <w:rPr>
          <w:rFonts w:ascii="Times New Roman" w:hAnsi="Times New Roman" w:cs="Times New Roman"/>
          <w:sz w:val="24"/>
          <w:szCs w:val="24"/>
        </w:rPr>
        <w:t>.</w:t>
      </w:r>
    </w:p>
    <w:p w:rsidR="00455F43" w:rsidRPr="00B559E3" w:rsidRDefault="00B16E71"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Several scholars have also laid their argument on the basis of the distributive justice or the difference principle, which portrays a socialist approach that states that all responsibilities alongside burdens have to be distributed as per needs</w:t>
      </w:r>
      <w:r w:rsidR="00B559E3" w:rsidRPr="00B559E3">
        <w:rPr>
          <w:rFonts w:ascii="Times New Roman" w:hAnsi="Times New Roman" w:cs="Times New Roman"/>
          <w:sz w:val="24"/>
          <w:szCs w:val="24"/>
        </w:rPr>
        <w:t xml:space="preserve"> (Robeyns, 2003)</w:t>
      </w:r>
      <w:r w:rsidRPr="00B559E3">
        <w:rPr>
          <w:rFonts w:ascii="Times New Roman" w:hAnsi="Times New Roman" w:cs="Times New Roman"/>
          <w:sz w:val="24"/>
          <w:szCs w:val="24"/>
        </w:rPr>
        <w:t>. Substantially, in the workplace, all working mothers may necessarily not be the least advantaged or even the ones classified as the group with the most needs</w:t>
      </w:r>
      <w:r w:rsidR="00455F43" w:rsidRPr="00B559E3">
        <w:rPr>
          <w:rFonts w:ascii="Times New Roman" w:hAnsi="Times New Roman" w:cs="Times New Roman"/>
          <w:sz w:val="24"/>
          <w:szCs w:val="24"/>
        </w:rPr>
        <w:t xml:space="preserve"> since there are other several groups suffering greater extents of injustice or discrimination like the African Americans. In this regard, compared to other groups who may even lack the opportunity to get a job, discriminating women in the workplace may even be better</w:t>
      </w:r>
      <w:r w:rsidR="00B559E3" w:rsidRPr="00B559E3">
        <w:rPr>
          <w:rFonts w:ascii="Times New Roman" w:hAnsi="Times New Roman" w:cs="Times New Roman"/>
          <w:sz w:val="24"/>
          <w:szCs w:val="24"/>
        </w:rPr>
        <w:t xml:space="preserve"> (Hicks, 2002)</w:t>
      </w:r>
      <w:r w:rsidR="00455F43" w:rsidRPr="00B559E3">
        <w:rPr>
          <w:rFonts w:ascii="Times New Roman" w:hAnsi="Times New Roman" w:cs="Times New Roman"/>
          <w:sz w:val="24"/>
          <w:szCs w:val="24"/>
        </w:rPr>
        <w:t xml:space="preserve">. Consequently, this distributive justice remains applicable since an individual is mandated to begin by assisting the least disadvantaged. For example, for working mothers, if benefits were to accrue to them, their position would be improved though at the same time, elevate the discrimination between the least advantaged and </w:t>
      </w:r>
      <w:r w:rsidR="00455F43" w:rsidRPr="00B559E3">
        <w:rPr>
          <w:rFonts w:ascii="Times New Roman" w:hAnsi="Times New Roman" w:cs="Times New Roman"/>
          <w:sz w:val="24"/>
          <w:szCs w:val="24"/>
        </w:rPr>
        <w:lastRenderedPageBreak/>
        <w:t xml:space="preserve">the working mothers; a phenomenon that would go against this principle, thus; it should not be applied. </w:t>
      </w:r>
    </w:p>
    <w:p w:rsidR="00015DFF" w:rsidRPr="00B559E3" w:rsidRDefault="00455F43"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 xml:space="preserve">Another criticism states that higher pleasures remain inconsistent with hedonism. Accordingly, the most distinctive facet of utilitarianism is that happiness I comprised of </w:t>
      </w:r>
      <w:r w:rsidR="00227126" w:rsidRPr="00B559E3">
        <w:rPr>
          <w:rFonts w:ascii="Times New Roman" w:hAnsi="Times New Roman" w:cs="Times New Roman"/>
          <w:sz w:val="24"/>
          <w:szCs w:val="24"/>
        </w:rPr>
        <w:t>higher and lower pleasures, not to mention that the higher ones remain qualitatively superior to the lower pleasures</w:t>
      </w:r>
      <w:r w:rsidR="00B559E3" w:rsidRPr="00B559E3">
        <w:rPr>
          <w:rFonts w:ascii="Times New Roman" w:hAnsi="Times New Roman" w:cs="Times New Roman"/>
          <w:sz w:val="24"/>
          <w:szCs w:val="24"/>
        </w:rPr>
        <w:t xml:space="preserve"> (Diller, 2018)</w:t>
      </w:r>
      <w:r w:rsidR="00227126" w:rsidRPr="00B559E3">
        <w:rPr>
          <w:rFonts w:ascii="Times New Roman" w:hAnsi="Times New Roman" w:cs="Times New Roman"/>
          <w:sz w:val="24"/>
          <w:szCs w:val="24"/>
        </w:rPr>
        <w:t xml:space="preserve">. The critiques maintain that if pleasure is perceived as a sole criterion, then people have to deemphasize the standard of dignity and vice versa. In this regard, it is argued that there is a complexity in setting aside the notion of dignity, and simply observing pleasure as the only standard of happiness. Again, they maintain that there is another option in redefining the human pleasure notion so as to make it inseparable </w:t>
      </w:r>
      <w:r w:rsidR="00415441" w:rsidRPr="00B559E3">
        <w:rPr>
          <w:rFonts w:ascii="Times New Roman" w:hAnsi="Times New Roman" w:cs="Times New Roman"/>
          <w:sz w:val="24"/>
          <w:szCs w:val="24"/>
        </w:rPr>
        <w:t xml:space="preserve">from the human dignity notion. However, it should be noted that </w:t>
      </w:r>
      <w:r w:rsidR="00015DFF" w:rsidRPr="00B559E3">
        <w:rPr>
          <w:rFonts w:ascii="Times New Roman" w:hAnsi="Times New Roman" w:cs="Times New Roman"/>
          <w:sz w:val="24"/>
          <w:szCs w:val="24"/>
        </w:rPr>
        <w:t>pain and reflection will lead to suffering while ordinary pleasure and refection will result in higher pleasure</w:t>
      </w:r>
      <w:r w:rsidR="00B559E3" w:rsidRPr="00B559E3">
        <w:rPr>
          <w:rFonts w:ascii="Times New Roman" w:hAnsi="Times New Roman" w:cs="Times New Roman"/>
          <w:sz w:val="24"/>
          <w:szCs w:val="24"/>
        </w:rPr>
        <w:t xml:space="preserve"> (Blowfield &amp; Dolan, 2008)</w:t>
      </w:r>
      <w:r w:rsidR="00015DFF" w:rsidRPr="00B559E3">
        <w:rPr>
          <w:rFonts w:ascii="Times New Roman" w:hAnsi="Times New Roman" w:cs="Times New Roman"/>
          <w:sz w:val="24"/>
          <w:szCs w:val="24"/>
        </w:rPr>
        <w:t>.</w:t>
      </w:r>
    </w:p>
    <w:p w:rsidR="003D7ACF" w:rsidRPr="00B559E3" w:rsidRDefault="00015DFF" w:rsidP="00B559E3">
      <w:pPr>
        <w:spacing w:after="0" w:line="480" w:lineRule="auto"/>
        <w:ind w:firstLine="720"/>
        <w:rPr>
          <w:rFonts w:ascii="Times New Roman" w:hAnsi="Times New Roman" w:cs="Times New Roman"/>
          <w:sz w:val="24"/>
          <w:szCs w:val="24"/>
        </w:rPr>
      </w:pPr>
      <w:r w:rsidRPr="00B559E3">
        <w:rPr>
          <w:rFonts w:ascii="Times New Roman" w:hAnsi="Times New Roman" w:cs="Times New Roman"/>
          <w:sz w:val="24"/>
          <w:szCs w:val="24"/>
        </w:rPr>
        <w:t xml:space="preserve">Suffice to say, </w:t>
      </w:r>
      <w:r w:rsidR="003008BE" w:rsidRPr="00B559E3">
        <w:rPr>
          <w:rFonts w:ascii="Times New Roman" w:hAnsi="Times New Roman" w:cs="Times New Roman"/>
          <w:sz w:val="24"/>
          <w:szCs w:val="24"/>
        </w:rPr>
        <w:t xml:space="preserve">the consequences of people’s actions are adequately significant in their lives, and they matter. However, when it comes to utilitarianism, this concept changes as the consequences is all that matters. The main utilitarian moral theory principle asserts that the right action is that action, which produces the most overall happiness. On the positive end, </w:t>
      </w:r>
      <w:r w:rsidR="003D7ACF" w:rsidRPr="00B559E3">
        <w:rPr>
          <w:rFonts w:ascii="Times New Roman" w:hAnsi="Times New Roman" w:cs="Times New Roman"/>
          <w:sz w:val="24"/>
          <w:szCs w:val="24"/>
        </w:rPr>
        <w:t>the application of this theory in the society implies that the societal problems and vices such as discrimination and prejudice will be alleviated. On the other hand, this principle is couple with some weaknesses, with its standard objection being the violation of the standards of social justice. The moral reasoning of utilitarianism remains prevalent in the political as well as moral dialogues, and the consequences of people’s actions have to be considered while still thinking about the ethical principles and relevant virtues.</w:t>
      </w:r>
    </w:p>
    <w:p w:rsidR="008A59A7" w:rsidRDefault="008A59A7" w:rsidP="00B559E3">
      <w:pPr>
        <w:spacing w:after="0" w:line="480" w:lineRule="auto"/>
        <w:jc w:val="center"/>
        <w:rPr>
          <w:rFonts w:ascii="Times New Roman" w:hAnsi="Times New Roman" w:cs="Times New Roman"/>
          <w:b/>
          <w:sz w:val="24"/>
          <w:szCs w:val="24"/>
        </w:rPr>
      </w:pPr>
    </w:p>
    <w:p w:rsidR="003D7ACF" w:rsidRPr="00B559E3" w:rsidRDefault="003D7ACF" w:rsidP="00B559E3">
      <w:pPr>
        <w:spacing w:after="0" w:line="480" w:lineRule="auto"/>
        <w:jc w:val="center"/>
        <w:rPr>
          <w:rFonts w:ascii="Times New Roman" w:hAnsi="Times New Roman" w:cs="Times New Roman"/>
          <w:b/>
          <w:sz w:val="24"/>
          <w:szCs w:val="24"/>
        </w:rPr>
      </w:pPr>
      <w:r w:rsidRPr="00B559E3">
        <w:rPr>
          <w:rFonts w:ascii="Times New Roman" w:hAnsi="Times New Roman" w:cs="Times New Roman"/>
          <w:b/>
          <w:sz w:val="24"/>
          <w:szCs w:val="24"/>
        </w:rPr>
        <w:lastRenderedPageBreak/>
        <w:t>References</w:t>
      </w:r>
    </w:p>
    <w:p w:rsidR="00B559E3" w:rsidRPr="00B559E3" w:rsidRDefault="00B559E3" w:rsidP="00B559E3">
      <w:pPr>
        <w:spacing w:after="0" w:line="480" w:lineRule="auto"/>
        <w:ind w:left="720" w:hanging="720"/>
        <w:rPr>
          <w:rFonts w:ascii="Times New Roman" w:hAnsi="Times New Roman" w:cs="Times New Roman"/>
          <w:sz w:val="24"/>
          <w:szCs w:val="24"/>
        </w:rPr>
      </w:pPr>
      <w:r w:rsidRPr="00B559E3">
        <w:rPr>
          <w:rFonts w:ascii="Times New Roman" w:hAnsi="Times New Roman" w:cs="Times New Roman"/>
          <w:sz w:val="24"/>
          <w:szCs w:val="24"/>
        </w:rPr>
        <w:t xml:space="preserve">Aagaard, K. (2016). New and persistent gender equality challenges in academia. </w:t>
      </w:r>
      <w:r w:rsidRPr="00B559E3">
        <w:rPr>
          <w:rFonts w:ascii="Times New Roman" w:hAnsi="Times New Roman" w:cs="Times New Roman"/>
          <w:i/>
          <w:sz w:val="24"/>
          <w:szCs w:val="24"/>
        </w:rPr>
        <w:t>Scandinavian Journal of Public Administration, 20</w:t>
      </w:r>
      <w:r w:rsidRPr="00B559E3">
        <w:rPr>
          <w:rFonts w:ascii="Times New Roman" w:hAnsi="Times New Roman" w:cs="Times New Roman"/>
          <w:sz w:val="24"/>
          <w:szCs w:val="24"/>
        </w:rPr>
        <w:t>(1), 87-90.</w:t>
      </w:r>
    </w:p>
    <w:p w:rsidR="00B559E3" w:rsidRPr="00B559E3" w:rsidRDefault="00B559E3" w:rsidP="00B559E3">
      <w:pPr>
        <w:spacing w:after="0" w:line="480" w:lineRule="auto"/>
        <w:ind w:left="720" w:hanging="720"/>
        <w:rPr>
          <w:rFonts w:ascii="Times New Roman" w:hAnsi="Times New Roman" w:cs="Times New Roman"/>
          <w:sz w:val="24"/>
          <w:szCs w:val="24"/>
        </w:rPr>
      </w:pPr>
      <w:r w:rsidRPr="00B559E3">
        <w:rPr>
          <w:rFonts w:ascii="Times New Roman" w:hAnsi="Times New Roman" w:cs="Times New Roman"/>
          <w:sz w:val="24"/>
          <w:szCs w:val="24"/>
        </w:rPr>
        <w:t xml:space="preserve">Blowfield, M. E., &amp; Dolan, C. S. (2008). Stewards of virtue? The ethical dilemma of CSR in African agriculture. </w:t>
      </w:r>
      <w:r w:rsidRPr="00B559E3">
        <w:rPr>
          <w:rFonts w:ascii="Times New Roman" w:hAnsi="Times New Roman" w:cs="Times New Roman"/>
          <w:i/>
          <w:sz w:val="24"/>
          <w:szCs w:val="24"/>
        </w:rPr>
        <w:t>Development and Change, 39</w:t>
      </w:r>
      <w:r w:rsidRPr="00B559E3">
        <w:rPr>
          <w:rFonts w:ascii="Times New Roman" w:hAnsi="Times New Roman" w:cs="Times New Roman"/>
          <w:sz w:val="24"/>
          <w:szCs w:val="24"/>
        </w:rPr>
        <w:t>(1), 1-23.</w:t>
      </w:r>
    </w:p>
    <w:p w:rsidR="00B559E3" w:rsidRPr="00B559E3" w:rsidRDefault="00B559E3" w:rsidP="00B559E3">
      <w:pPr>
        <w:spacing w:after="0" w:line="480" w:lineRule="auto"/>
        <w:ind w:left="720" w:hanging="720"/>
        <w:rPr>
          <w:rFonts w:ascii="Times New Roman" w:hAnsi="Times New Roman" w:cs="Times New Roman"/>
          <w:sz w:val="24"/>
          <w:szCs w:val="24"/>
        </w:rPr>
      </w:pPr>
      <w:r w:rsidRPr="00B559E3">
        <w:rPr>
          <w:rFonts w:ascii="Times New Roman" w:hAnsi="Times New Roman" w:cs="Times New Roman"/>
          <w:sz w:val="24"/>
          <w:szCs w:val="24"/>
        </w:rPr>
        <w:t xml:space="preserve">Diller, A. (2018). The gender question in education: </w:t>
      </w:r>
      <w:r w:rsidRPr="00B559E3">
        <w:rPr>
          <w:rFonts w:ascii="Times New Roman" w:hAnsi="Times New Roman" w:cs="Times New Roman"/>
          <w:i/>
          <w:sz w:val="24"/>
          <w:szCs w:val="24"/>
        </w:rPr>
        <w:t>Theory, pedagogy, and politics</w:t>
      </w:r>
      <w:r w:rsidRPr="00B559E3">
        <w:rPr>
          <w:rFonts w:ascii="Times New Roman" w:hAnsi="Times New Roman" w:cs="Times New Roman"/>
          <w:sz w:val="24"/>
          <w:szCs w:val="24"/>
        </w:rPr>
        <w:t>. London: Routledge.</w:t>
      </w:r>
    </w:p>
    <w:p w:rsidR="00B559E3" w:rsidRPr="00B559E3" w:rsidRDefault="00B559E3" w:rsidP="00B559E3">
      <w:pPr>
        <w:spacing w:after="0" w:line="480" w:lineRule="auto"/>
        <w:ind w:left="720" w:hanging="720"/>
        <w:rPr>
          <w:rFonts w:ascii="Times New Roman" w:hAnsi="Times New Roman" w:cs="Times New Roman"/>
          <w:sz w:val="24"/>
          <w:szCs w:val="24"/>
        </w:rPr>
      </w:pPr>
      <w:r w:rsidRPr="00B559E3">
        <w:rPr>
          <w:rFonts w:ascii="Times New Roman" w:hAnsi="Times New Roman" w:cs="Times New Roman"/>
          <w:sz w:val="24"/>
          <w:szCs w:val="24"/>
        </w:rPr>
        <w:t xml:space="preserve">Hicks, D. A. (2002). Gender, discrimination, and capability: Insights from Amartya Sen. </w:t>
      </w:r>
      <w:r w:rsidRPr="00B559E3">
        <w:rPr>
          <w:rFonts w:ascii="Times New Roman" w:hAnsi="Times New Roman" w:cs="Times New Roman"/>
          <w:i/>
          <w:sz w:val="24"/>
          <w:szCs w:val="24"/>
        </w:rPr>
        <w:t>Journal of Religious Ethics, 30</w:t>
      </w:r>
      <w:r w:rsidRPr="00B559E3">
        <w:rPr>
          <w:rFonts w:ascii="Times New Roman" w:hAnsi="Times New Roman" w:cs="Times New Roman"/>
          <w:sz w:val="24"/>
          <w:szCs w:val="24"/>
        </w:rPr>
        <w:t>(1), 137-154.</w:t>
      </w:r>
    </w:p>
    <w:p w:rsidR="00B559E3" w:rsidRPr="00B559E3" w:rsidRDefault="00B559E3" w:rsidP="00B559E3">
      <w:pPr>
        <w:spacing w:after="0" w:line="480" w:lineRule="auto"/>
        <w:ind w:left="720" w:hanging="720"/>
        <w:rPr>
          <w:rFonts w:ascii="Times New Roman" w:hAnsi="Times New Roman" w:cs="Times New Roman"/>
          <w:sz w:val="24"/>
          <w:szCs w:val="24"/>
        </w:rPr>
      </w:pPr>
      <w:r w:rsidRPr="00B559E3">
        <w:rPr>
          <w:rFonts w:ascii="Times New Roman" w:hAnsi="Times New Roman" w:cs="Times New Roman"/>
          <w:sz w:val="24"/>
          <w:szCs w:val="24"/>
        </w:rPr>
        <w:t xml:space="preserve">Robeyns, I. (2003). Is Nancy Fraser's critique of theories of distributive justice justified?. </w:t>
      </w:r>
      <w:r w:rsidRPr="00B559E3">
        <w:rPr>
          <w:rFonts w:ascii="Times New Roman" w:hAnsi="Times New Roman" w:cs="Times New Roman"/>
          <w:i/>
          <w:sz w:val="24"/>
          <w:szCs w:val="24"/>
        </w:rPr>
        <w:t>Constellations, 10</w:t>
      </w:r>
      <w:r w:rsidRPr="00B559E3">
        <w:rPr>
          <w:rFonts w:ascii="Times New Roman" w:hAnsi="Times New Roman" w:cs="Times New Roman"/>
          <w:sz w:val="24"/>
          <w:szCs w:val="24"/>
        </w:rPr>
        <w:t>(4), 538-554.</w:t>
      </w:r>
    </w:p>
    <w:p w:rsidR="00A9651B" w:rsidRPr="00B559E3" w:rsidRDefault="003D7ACF" w:rsidP="00B559E3">
      <w:pPr>
        <w:spacing w:after="0" w:line="480" w:lineRule="auto"/>
        <w:rPr>
          <w:rFonts w:ascii="Times New Roman" w:hAnsi="Times New Roman" w:cs="Times New Roman"/>
          <w:sz w:val="24"/>
          <w:szCs w:val="24"/>
        </w:rPr>
      </w:pPr>
      <w:r w:rsidRPr="00B559E3">
        <w:rPr>
          <w:rFonts w:ascii="Times New Roman" w:hAnsi="Times New Roman" w:cs="Times New Roman"/>
          <w:sz w:val="24"/>
          <w:szCs w:val="24"/>
        </w:rPr>
        <w:t xml:space="preserve"> </w:t>
      </w:r>
      <w:r w:rsidR="00227126" w:rsidRPr="00B559E3">
        <w:rPr>
          <w:rFonts w:ascii="Times New Roman" w:hAnsi="Times New Roman" w:cs="Times New Roman"/>
          <w:sz w:val="24"/>
          <w:szCs w:val="24"/>
        </w:rPr>
        <w:t xml:space="preserve"> </w:t>
      </w:r>
      <w:r w:rsidR="00B16E71" w:rsidRPr="00B559E3">
        <w:rPr>
          <w:rFonts w:ascii="Times New Roman" w:hAnsi="Times New Roman" w:cs="Times New Roman"/>
          <w:sz w:val="24"/>
          <w:szCs w:val="24"/>
        </w:rPr>
        <w:t xml:space="preserve">  </w:t>
      </w:r>
      <w:r w:rsidR="00DF7D15" w:rsidRPr="00B559E3">
        <w:rPr>
          <w:rFonts w:ascii="Times New Roman" w:hAnsi="Times New Roman" w:cs="Times New Roman"/>
          <w:sz w:val="24"/>
          <w:szCs w:val="24"/>
        </w:rPr>
        <w:t xml:space="preserve"> </w:t>
      </w:r>
      <w:r w:rsidR="00A9651B" w:rsidRPr="00B559E3">
        <w:rPr>
          <w:rFonts w:ascii="Times New Roman" w:hAnsi="Times New Roman" w:cs="Times New Roman"/>
          <w:sz w:val="24"/>
          <w:szCs w:val="24"/>
        </w:rPr>
        <w:t xml:space="preserve"> </w:t>
      </w:r>
    </w:p>
    <w:p w:rsidR="007C2592" w:rsidRPr="00B559E3" w:rsidRDefault="00AA7FF5" w:rsidP="00B559E3">
      <w:pPr>
        <w:spacing w:after="0" w:line="480" w:lineRule="auto"/>
        <w:rPr>
          <w:rFonts w:ascii="Times New Roman" w:hAnsi="Times New Roman" w:cs="Times New Roman"/>
          <w:sz w:val="24"/>
          <w:szCs w:val="24"/>
        </w:rPr>
      </w:pPr>
      <w:r w:rsidRPr="00B559E3">
        <w:rPr>
          <w:rFonts w:ascii="Times New Roman" w:hAnsi="Times New Roman" w:cs="Times New Roman"/>
          <w:sz w:val="24"/>
          <w:szCs w:val="24"/>
        </w:rPr>
        <w:t xml:space="preserve">  </w:t>
      </w:r>
      <w:r w:rsidR="00286673" w:rsidRPr="00B559E3">
        <w:rPr>
          <w:rFonts w:ascii="Times New Roman" w:hAnsi="Times New Roman" w:cs="Times New Roman"/>
          <w:sz w:val="24"/>
          <w:szCs w:val="24"/>
        </w:rPr>
        <w:t xml:space="preserve"> </w:t>
      </w:r>
      <w:r w:rsidR="00506297" w:rsidRPr="00B559E3">
        <w:rPr>
          <w:rFonts w:ascii="Times New Roman" w:hAnsi="Times New Roman" w:cs="Times New Roman"/>
          <w:sz w:val="24"/>
          <w:szCs w:val="24"/>
        </w:rPr>
        <w:t xml:space="preserve"> </w:t>
      </w:r>
      <w:r w:rsidR="00A7555A" w:rsidRPr="00B559E3">
        <w:rPr>
          <w:rFonts w:ascii="Times New Roman" w:hAnsi="Times New Roman" w:cs="Times New Roman"/>
          <w:sz w:val="24"/>
          <w:szCs w:val="24"/>
        </w:rPr>
        <w:t xml:space="preserve">  </w:t>
      </w:r>
      <w:r w:rsidR="00AE1CFF" w:rsidRPr="00B559E3">
        <w:rPr>
          <w:rFonts w:ascii="Times New Roman" w:hAnsi="Times New Roman" w:cs="Times New Roman"/>
          <w:sz w:val="24"/>
          <w:szCs w:val="24"/>
        </w:rPr>
        <w:t xml:space="preserve"> </w:t>
      </w:r>
      <w:r w:rsidR="00687CAD" w:rsidRPr="00B559E3">
        <w:rPr>
          <w:rFonts w:ascii="Times New Roman" w:hAnsi="Times New Roman" w:cs="Times New Roman"/>
          <w:sz w:val="24"/>
          <w:szCs w:val="24"/>
        </w:rPr>
        <w:t xml:space="preserve"> </w:t>
      </w:r>
      <w:r w:rsidR="00E64EF3" w:rsidRPr="00B559E3">
        <w:rPr>
          <w:rFonts w:ascii="Times New Roman" w:hAnsi="Times New Roman" w:cs="Times New Roman"/>
          <w:sz w:val="24"/>
          <w:szCs w:val="24"/>
        </w:rPr>
        <w:t xml:space="preserve">  </w:t>
      </w:r>
    </w:p>
    <w:sectPr w:rsidR="007C2592" w:rsidRPr="00B559E3" w:rsidSect="008A59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946" w:rsidRDefault="00F86946" w:rsidP="00B559E3">
      <w:pPr>
        <w:spacing w:after="0" w:line="240" w:lineRule="auto"/>
      </w:pPr>
      <w:r>
        <w:separator/>
      </w:r>
    </w:p>
  </w:endnote>
  <w:endnote w:type="continuationSeparator" w:id="1">
    <w:p w:rsidR="00F86946" w:rsidRDefault="00F86946" w:rsidP="00B559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946" w:rsidRDefault="00F86946" w:rsidP="00B559E3">
      <w:pPr>
        <w:spacing w:after="0" w:line="240" w:lineRule="auto"/>
      </w:pPr>
      <w:r>
        <w:separator/>
      </w:r>
    </w:p>
  </w:footnote>
  <w:footnote w:type="continuationSeparator" w:id="1">
    <w:p w:rsidR="00F86946" w:rsidRDefault="00F86946" w:rsidP="00B559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2292"/>
      <w:docPartObj>
        <w:docPartGallery w:val="Page Numbers (Top of Page)"/>
        <w:docPartUnique/>
      </w:docPartObj>
    </w:sdtPr>
    <w:sdtContent>
      <w:p w:rsidR="00B559E3" w:rsidRDefault="008A59A7" w:rsidP="008A59A7">
        <w:pPr>
          <w:pStyle w:val="Header"/>
          <w:spacing w:line="480" w:lineRule="auto"/>
        </w:pPr>
        <w:r w:rsidRPr="008A59A7">
          <w:rPr>
            <w:rFonts w:ascii="Times New Roman" w:hAnsi="Times New Roman" w:cs="Times New Roman"/>
            <w:sz w:val="24"/>
            <w:szCs w:val="24"/>
          </w:rPr>
          <w:t xml:space="preserve">GENDER DISCRIMINATION &amp; THEORY OF UTILITARIANISM </w:t>
        </w:r>
        <w:r>
          <w:rPr>
            <w:rFonts w:ascii="Times New Roman" w:hAnsi="Times New Roman" w:cs="Times New Roman"/>
            <w:sz w:val="24"/>
            <w:szCs w:val="24"/>
          </w:rPr>
          <w:t xml:space="preserve">                                         </w:t>
        </w:r>
        <w:r w:rsidR="00B559E3" w:rsidRPr="008A59A7">
          <w:rPr>
            <w:rFonts w:ascii="Times New Roman" w:hAnsi="Times New Roman" w:cs="Times New Roman"/>
            <w:sz w:val="24"/>
            <w:szCs w:val="24"/>
          </w:rPr>
          <w:fldChar w:fldCharType="begin"/>
        </w:r>
        <w:r w:rsidR="00B559E3" w:rsidRPr="008A59A7">
          <w:rPr>
            <w:rFonts w:ascii="Times New Roman" w:hAnsi="Times New Roman" w:cs="Times New Roman"/>
            <w:sz w:val="24"/>
            <w:szCs w:val="24"/>
          </w:rPr>
          <w:instrText xml:space="preserve"> PAGE   \* MERGEFORMAT </w:instrText>
        </w:r>
        <w:r w:rsidR="00B559E3" w:rsidRPr="008A59A7">
          <w:rPr>
            <w:rFonts w:ascii="Times New Roman" w:hAnsi="Times New Roman" w:cs="Times New Roman"/>
            <w:sz w:val="24"/>
            <w:szCs w:val="24"/>
          </w:rPr>
          <w:fldChar w:fldCharType="separate"/>
        </w:r>
        <w:r>
          <w:rPr>
            <w:rFonts w:ascii="Times New Roman" w:hAnsi="Times New Roman" w:cs="Times New Roman"/>
            <w:noProof/>
            <w:sz w:val="24"/>
            <w:szCs w:val="24"/>
          </w:rPr>
          <w:t>7</w:t>
        </w:r>
        <w:r w:rsidR="00B559E3" w:rsidRPr="008A59A7">
          <w:rPr>
            <w:rFonts w:ascii="Times New Roman" w:hAnsi="Times New Roman" w:cs="Times New Roman"/>
            <w:sz w:val="24"/>
            <w:szCs w:val="24"/>
          </w:rPr>
          <w:fldChar w:fldCharType="end"/>
        </w:r>
      </w:p>
    </w:sdtContent>
  </w:sdt>
  <w:p w:rsidR="00B559E3" w:rsidRDefault="00B559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2301"/>
      <w:docPartObj>
        <w:docPartGallery w:val="Page Numbers (Top of Page)"/>
        <w:docPartUnique/>
      </w:docPartObj>
    </w:sdtPr>
    <w:sdtContent>
      <w:p w:rsidR="008A59A7" w:rsidRDefault="008A59A7" w:rsidP="008A59A7">
        <w:pPr>
          <w:pStyle w:val="Header"/>
          <w:spacing w:line="480" w:lineRule="auto"/>
          <w:jc w:val="right"/>
        </w:pPr>
        <w:r w:rsidRPr="008A59A7">
          <w:rPr>
            <w:rFonts w:ascii="Times New Roman" w:hAnsi="Times New Roman" w:cs="Times New Roman"/>
            <w:sz w:val="24"/>
            <w:szCs w:val="24"/>
          </w:rPr>
          <w:t xml:space="preserve">Running Head: GENDER DISCRIMINATION &amp; THEORY OF UTILITARIANISM </w:t>
        </w:r>
        <w:r>
          <w:rPr>
            <w:rFonts w:ascii="Times New Roman" w:hAnsi="Times New Roman" w:cs="Times New Roman"/>
            <w:sz w:val="24"/>
            <w:szCs w:val="24"/>
          </w:rPr>
          <w:t xml:space="preserve">                </w:t>
        </w:r>
        <w:r w:rsidRPr="008A59A7">
          <w:rPr>
            <w:rFonts w:ascii="Times New Roman" w:hAnsi="Times New Roman" w:cs="Times New Roman"/>
            <w:sz w:val="24"/>
            <w:szCs w:val="24"/>
          </w:rPr>
          <w:fldChar w:fldCharType="begin"/>
        </w:r>
        <w:r w:rsidRPr="008A59A7">
          <w:rPr>
            <w:rFonts w:ascii="Times New Roman" w:hAnsi="Times New Roman" w:cs="Times New Roman"/>
            <w:sz w:val="24"/>
            <w:szCs w:val="24"/>
          </w:rPr>
          <w:instrText xml:space="preserve"> PAGE   \* MERGEFORMAT </w:instrText>
        </w:r>
        <w:r w:rsidRPr="008A59A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59A7">
          <w:rPr>
            <w:rFonts w:ascii="Times New Roman" w:hAnsi="Times New Roman" w:cs="Times New Roman"/>
            <w:sz w:val="24"/>
            <w:szCs w:val="24"/>
          </w:rPr>
          <w:fldChar w:fldCharType="end"/>
        </w:r>
      </w:p>
    </w:sdtContent>
  </w:sdt>
  <w:p w:rsidR="008A59A7" w:rsidRDefault="008A59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C2592"/>
    <w:rsid w:val="00015DFF"/>
    <w:rsid w:val="0003146A"/>
    <w:rsid w:val="0007698B"/>
    <w:rsid w:val="00227126"/>
    <w:rsid w:val="00286673"/>
    <w:rsid w:val="00293877"/>
    <w:rsid w:val="003008BE"/>
    <w:rsid w:val="003D7ACF"/>
    <w:rsid w:val="00415441"/>
    <w:rsid w:val="00455F43"/>
    <w:rsid w:val="00506297"/>
    <w:rsid w:val="00687CAD"/>
    <w:rsid w:val="007C2592"/>
    <w:rsid w:val="008A59A7"/>
    <w:rsid w:val="00917CA6"/>
    <w:rsid w:val="00A17AE8"/>
    <w:rsid w:val="00A7555A"/>
    <w:rsid w:val="00A9651B"/>
    <w:rsid w:val="00AA7FF5"/>
    <w:rsid w:val="00AE1CFF"/>
    <w:rsid w:val="00B16E71"/>
    <w:rsid w:val="00B559E3"/>
    <w:rsid w:val="00D57998"/>
    <w:rsid w:val="00DF7D15"/>
    <w:rsid w:val="00E26B5E"/>
    <w:rsid w:val="00E64EF3"/>
    <w:rsid w:val="00E8344B"/>
    <w:rsid w:val="00F104BC"/>
    <w:rsid w:val="00F869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A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9E3"/>
  </w:style>
  <w:style w:type="paragraph" w:styleId="Footer">
    <w:name w:val="footer"/>
    <w:basedOn w:val="Normal"/>
    <w:link w:val="FooterChar"/>
    <w:uiPriority w:val="99"/>
    <w:semiHidden/>
    <w:unhideWhenUsed/>
    <w:rsid w:val="00B559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59E3"/>
  </w:style>
</w:styles>
</file>

<file path=word/webSettings.xml><?xml version="1.0" encoding="utf-8"?>
<w:webSettings xmlns:r="http://schemas.openxmlformats.org/officeDocument/2006/relationships" xmlns:w="http://schemas.openxmlformats.org/wordprocessingml/2006/main">
  <w:divs>
    <w:div w:id="793713759">
      <w:bodyDiv w:val="1"/>
      <w:marLeft w:val="0"/>
      <w:marRight w:val="0"/>
      <w:marTop w:val="0"/>
      <w:marBottom w:val="0"/>
      <w:divBdr>
        <w:top w:val="none" w:sz="0" w:space="0" w:color="auto"/>
        <w:left w:val="none" w:sz="0" w:space="0" w:color="auto"/>
        <w:bottom w:val="none" w:sz="0" w:space="0" w:color="auto"/>
        <w:right w:val="none" w:sz="0" w:space="0" w:color="auto"/>
      </w:divBdr>
      <w:divsChild>
        <w:div w:id="1698045064">
          <w:marLeft w:val="0"/>
          <w:marRight w:val="0"/>
          <w:marTop w:val="0"/>
          <w:marBottom w:val="0"/>
          <w:divBdr>
            <w:top w:val="none" w:sz="0" w:space="0" w:color="auto"/>
            <w:left w:val="none" w:sz="0" w:space="0" w:color="auto"/>
            <w:bottom w:val="none" w:sz="0" w:space="0" w:color="auto"/>
            <w:right w:val="none" w:sz="0" w:space="0" w:color="auto"/>
          </w:divBdr>
        </w:div>
      </w:divsChild>
    </w:div>
    <w:div w:id="943685583">
      <w:bodyDiv w:val="1"/>
      <w:marLeft w:val="0"/>
      <w:marRight w:val="0"/>
      <w:marTop w:val="0"/>
      <w:marBottom w:val="0"/>
      <w:divBdr>
        <w:top w:val="none" w:sz="0" w:space="0" w:color="auto"/>
        <w:left w:val="none" w:sz="0" w:space="0" w:color="auto"/>
        <w:bottom w:val="none" w:sz="0" w:space="0" w:color="auto"/>
        <w:right w:val="none" w:sz="0" w:space="0" w:color="auto"/>
      </w:divBdr>
      <w:divsChild>
        <w:div w:id="1601062998">
          <w:marLeft w:val="0"/>
          <w:marRight w:val="0"/>
          <w:marTop w:val="0"/>
          <w:marBottom w:val="0"/>
          <w:divBdr>
            <w:top w:val="none" w:sz="0" w:space="0" w:color="auto"/>
            <w:left w:val="none" w:sz="0" w:space="0" w:color="auto"/>
            <w:bottom w:val="none" w:sz="0" w:space="0" w:color="auto"/>
            <w:right w:val="none" w:sz="0" w:space="0" w:color="auto"/>
          </w:divBdr>
        </w:div>
      </w:divsChild>
    </w:div>
    <w:div w:id="1678194975">
      <w:bodyDiv w:val="1"/>
      <w:marLeft w:val="0"/>
      <w:marRight w:val="0"/>
      <w:marTop w:val="0"/>
      <w:marBottom w:val="0"/>
      <w:divBdr>
        <w:top w:val="none" w:sz="0" w:space="0" w:color="auto"/>
        <w:left w:val="none" w:sz="0" w:space="0" w:color="auto"/>
        <w:bottom w:val="none" w:sz="0" w:space="0" w:color="auto"/>
        <w:right w:val="none" w:sz="0" w:space="0" w:color="auto"/>
      </w:divBdr>
      <w:divsChild>
        <w:div w:id="1815219637">
          <w:marLeft w:val="0"/>
          <w:marRight w:val="0"/>
          <w:marTop w:val="0"/>
          <w:marBottom w:val="0"/>
          <w:divBdr>
            <w:top w:val="none" w:sz="0" w:space="0" w:color="auto"/>
            <w:left w:val="none" w:sz="0" w:space="0" w:color="auto"/>
            <w:bottom w:val="none" w:sz="0" w:space="0" w:color="auto"/>
            <w:right w:val="none" w:sz="0" w:space="0" w:color="auto"/>
          </w:divBdr>
        </w:div>
      </w:divsChild>
    </w:div>
    <w:div w:id="1749156355">
      <w:bodyDiv w:val="1"/>
      <w:marLeft w:val="0"/>
      <w:marRight w:val="0"/>
      <w:marTop w:val="0"/>
      <w:marBottom w:val="0"/>
      <w:divBdr>
        <w:top w:val="none" w:sz="0" w:space="0" w:color="auto"/>
        <w:left w:val="none" w:sz="0" w:space="0" w:color="auto"/>
        <w:bottom w:val="none" w:sz="0" w:space="0" w:color="auto"/>
        <w:right w:val="none" w:sz="0" w:space="0" w:color="auto"/>
      </w:divBdr>
      <w:divsChild>
        <w:div w:id="1640457996">
          <w:marLeft w:val="0"/>
          <w:marRight w:val="0"/>
          <w:marTop w:val="0"/>
          <w:marBottom w:val="0"/>
          <w:divBdr>
            <w:top w:val="none" w:sz="0" w:space="0" w:color="auto"/>
            <w:left w:val="none" w:sz="0" w:space="0" w:color="auto"/>
            <w:bottom w:val="none" w:sz="0" w:space="0" w:color="auto"/>
            <w:right w:val="none" w:sz="0" w:space="0" w:color="auto"/>
          </w:divBdr>
        </w:div>
      </w:divsChild>
    </w:div>
    <w:div w:id="2025935114">
      <w:bodyDiv w:val="1"/>
      <w:marLeft w:val="0"/>
      <w:marRight w:val="0"/>
      <w:marTop w:val="0"/>
      <w:marBottom w:val="0"/>
      <w:divBdr>
        <w:top w:val="none" w:sz="0" w:space="0" w:color="auto"/>
        <w:left w:val="none" w:sz="0" w:space="0" w:color="auto"/>
        <w:bottom w:val="none" w:sz="0" w:space="0" w:color="auto"/>
        <w:right w:val="none" w:sz="0" w:space="0" w:color="auto"/>
      </w:divBdr>
      <w:divsChild>
        <w:div w:id="746463434">
          <w:marLeft w:val="0"/>
          <w:marRight w:val="0"/>
          <w:marTop w:val="0"/>
          <w:marBottom w:val="0"/>
          <w:divBdr>
            <w:top w:val="none" w:sz="0" w:space="0" w:color="auto"/>
            <w:left w:val="none" w:sz="0" w:space="0" w:color="auto"/>
            <w:bottom w:val="none" w:sz="0" w:space="0" w:color="auto"/>
            <w:right w:val="none" w:sz="0" w:space="0" w:color="auto"/>
          </w:divBdr>
        </w:div>
      </w:divsChild>
    </w:div>
    <w:div w:id="2099252420">
      <w:bodyDiv w:val="1"/>
      <w:marLeft w:val="0"/>
      <w:marRight w:val="0"/>
      <w:marTop w:val="0"/>
      <w:marBottom w:val="0"/>
      <w:divBdr>
        <w:top w:val="none" w:sz="0" w:space="0" w:color="auto"/>
        <w:left w:val="none" w:sz="0" w:space="0" w:color="auto"/>
        <w:bottom w:val="none" w:sz="0" w:space="0" w:color="auto"/>
        <w:right w:val="none" w:sz="0" w:space="0" w:color="auto"/>
      </w:divBdr>
      <w:divsChild>
        <w:div w:id="464009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7</Pages>
  <Words>1683</Words>
  <Characters>9595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jamnet8</dc:creator>
  <cp:keywords/>
  <dc:description/>
  <cp:lastModifiedBy>jamnet8</cp:lastModifiedBy>
  <cp:revision>8</cp:revision>
  <dcterms:created xsi:type="dcterms:W3CDTF">2018-08-24T08:17:00Z</dcterms:created>
  <dcterms:modified xsi:type="dcterms:W3CDTF">2018-08-24T11:55:00Z</dcterms:modified>
</cp:coreProperties>
</file>